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9A01DD">
        <w:rPr>
          <w:rFonts w:cs="Arial"/>
          <w:sz w:val="20"/>
        </w:rPr>
        <w:t>10</w:t>
      </w:r>
      <w:r w:rsidR="00D27C56">
        <w:rPr>
          <w:rFonts w:cs="Arial"/>
          <w:sz w:val="20"/>
        </w:rPr>
        <w:t>1-bis-</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B17F46" w:rsidRPr="00B17F46">
        <w:t>R4-2201946</w:t>
      </w:r>
    </w:p>
    <w:p w:rsidR="00675C27" w:rsidRPr="00444A16" w:rsidRDefault="009D7747" w:rsidP="00F71A33">
      <w:pPr>
        <w:pStyle w:val="a1"/>
        <w:rPr>
          <w:rFonts w:eastAsia="宋体"/>
          <w:lang w:eastAsia="zh-CN"/>
        </w:rPr>
      </w:pPr>
      <w:r>
        <w:rPr>
          <w:rFonts w:eastAsia="宋体"/>
          <w:lang w:eastAsia="zh-CN"/>
        </w:rPr>
        <w:t xml:space="preserve">Electronic Meeting, </w:t>
      </w:r>
      <w:r w:rsidR="00D27C56" w:rsidRPr="00D27C56">
        <w:rPr>
          <w:rFonts w:eastAsia="宋体"/>
          <w:lang w:eastAsia="zh-CN"/>
        </w:rPr>
        <w:t>January 17-25, 2022</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F25FE" w:rsidRPr="002F25FE">
        <w:rPr>
          <w:rFonts w:ascii="Arial" w:hAnsi="Arial" w:cs="Arial"/>
          <w:sz w:val="22"/>
        </w:rPr>
        <w:t>On RF requirements for PC2 intra-band UL CA with UL MIMO</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B17F46" w:rsidRPr="00B17F46">
        <w:rPr>
          <w:rFonts w:ascii="Arial" w:hAnsi="Arial" w:cs="Arial"/>
          <w:sz w:val="22"/>
        </w:rPr>
        <w:t>6.3.2.4</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355387" w:rsidRPr="00355387" w:rsidRDefault="0029651F" w:rsidP="009A089A">
      <w:pPr>
        <w:rPr>
          <w:lang w:val="en-US"/>
        </w:rPr>
      </w:pPr>
      <w:r w:rsidRPr="0029651F">
        <w:rPr>
          <w:lang w:val="en-US"/>
        </w:rPr>
        <w:t>WF on PC2 intra-band contiguous UL CA with UL MIMO</w:t>
      </w:r>
      <w:r>
        <w:rPr>
          <w:lang w:val="en-US"/>
        </w:rPr>
        <w:t xml:space="preserve"> in [1] listed the agreements and remaining issues. </w:t>
      </w:r>
    </w:p>
    <w:p w:rsidR="009A089A" w:rsidRDefault="00B9629D" w:rsidP="009A089A">
      <w:r>
        <w:rPr>
          <w:lang w:val="x-none"/>
        </w:rPr>
        <w:t xml:space="preserve">This contribution provides </w:t>
      </w:r>
      <w:r w:rsidR="0029651F">
        <w:rPr>
          <w:lang w:val="x-none"/>
        </w:rPr>
        <w:t xml:space="preserve">our consideration </w:t>
      </w:r>
      <w:r w:rsidR="00A750D9">
        <w:rPr>
          <w:lang w:val="x-none"/>
        </w:rPr>
        <w:t xml:space="preserve">on </w:t>
      </w:r>
      <w:r w:rsidR="0029651F">
        <w:rPr>
          <w:lang w:val="x-none"/>
        </w:rPr>
        <w:t>the remaining issue and trying to complete the requirements for UL CA+MIMO</w:t>
      </w:r>
      <w:r>
        <w:rPr>
          <w:lang w:val="x-none"/>
        </w:rPr>
        <w:t>.</w:t>
      </w:r>
    </w:p>
    <w:p w:rsidR="00062E8E" w:rsidRDefault="00062E8E" w:rsidP="00F23E96">
      <w:pPr>
        <w:pStyle w:val="Heading1"/>
        <w:spacing w:after="240"/>
        <w:rPr>
          <w:rFonts w:eastAsia="宋体"/>
          <w:lang w:eastAsia="zh-CN"/>
        </w:rPr>
      </w:pPr>
      <w:r>
        <w:rPr>
          <w:rFonts w:eastAsia="宋体" w:hint="eastAsia"/>
          <w:lang w:eastAsia="zh-CN"/>
        </w:rPr>
        <w:t>Discussion</w:t>
      </w:r>
    </w:p>
    <w:p w:rsidR="005369EE" w:rsidRDefault="0029651F" w:rsidP="005369EE">
      <w:pPr>
        <w:rPr>
          <w:lang w:val="en-US" w:eastAsia="en-US"/>
        </w:rPr>
      </w:pPr>
      <w:r>
        <w:rPr>
          <w:lang w:val="en-US" w:eastAsia="en-US"/>
        </w:rPr>
        <w:t xml:space="preserve">The main issue is the applicable requirements for 23+26dBm and whether new signaling should be introduced for different UE architectures. </w:t>
      </w:r>
    </w:p>
    <w:p w:rsidR="005369EE" w:rsidRDefault="008A198D" w:rsidP="005369EE">
      <w:pPr>
        <w:rPr>
          <w:lang w:val="en-US" w:eastAsia="en-US"/>
        </w:rPr>
      </w:pPr>
      <w:r>
        <w:rPr>
          <w:lang w:val="en-US" w:eastAsia="en-US"/>
        </w:rPr>
        <w:t>Now there are two sets of MPR requirements, one is for 23+23dBm and one is for 26+26dBm (based on 1x26dBm).</w:t>
      </w:r>
    </w:p>
    <w:p w:rsidR="008A198D" w:rsidRDefault="008A198D" w:rsidP="005369EE">
      <w:pPr>
        <w:rPr>
          <w:lang w:val="en-US" w:eastAsia="en-US"/>
        </w:rPr>
      </w:pPr>
      <w:r>
        <w:rPr>
          <w:lang w:val="en-US" w:eastAsia="en-US"/>
        </w:rPr>
        <w:t xml:space="preserve">The MPR values are bit relaxed for 23+23dBm PA configuration, i.e. </w:t>
      </w:r>
    </w:p>
    <w:tbl>
      <w:tblPr>
        <w:tblStyle w:val="TableGrid"/>
        <w:tblW w:w="0" w:type="auto"/>
        <w:jc w:val="center"/>
        <w:tblLook w:val="04A0" w:firstRow="1" w:lastRow="0" w:firstColumn="1" w:lastColumn="0" w:noHBand="0" w:noVBand="1"/>
      </w:tblPr>
      <w:tblGrid>
        <w:gridCol w:w="2985"/>
        <w:gridCol w:w="2985"/>
        <w:gridCol w:w="2985"/>
      </w:tblGrid>
      <w:tr w:rsidR="008A198D" w:rsidRPr="00766023" w:rsidTr="00E44348">
        <w:trPr>
          <w:jc w:val="center"/>
        </w:trPr>
        <w:tc>
          <w:tcPr>
            <w:tcW w:w="2985" w:type="dxa"/>
            <w:shd w:val="clear" w:color="auto" w:fill="auto"/>
          </w:tcPr>
          <w:p w:rsidR="008A198D" w:rsidRPr="00E44348" w:rsidRDefault="008A198D" w:rsidP="00E44348">
            <w:pPr>
              <w:spacing w:after="0"/>
              <w:jc w:val="center"/>
              <w:rPr>
                <w:rFonts w:ascii="Arial" w:hAnsi="Arial" w:cs="Arial"/>
                <w:color w:val="000000" w:themeColor="text1"/>
                <w:sz w:val="18"/>
              </w:rPr>
            </w:pPr>
          </w:p>
        </w:tc>
        <w:tc>
          <w:tcPr>
            <w:tcW w:w="2985" w:type="dxa"/>
            <w:shd w:val="clear" w:color="auto" w:fill="auto"/>
          </w:tcPr>
          <w:p w:rsidR="008A198D" w:rsidRPr="00E44348" w:rsidRDefault="008A198D" w:rsidP="00E44348">
            <w:pPr>
              <w:spacing w:after="0"/>
              <w:jc w:val="center"/>
              <w:rPr>
                <w:rFonts w:ascii="Arial" w:hAnsi="Arial" w:cs="Arial"/>
                <w:color w:val="000000" w:themeColor="text1"/>
                <w:sz w:val="18"/>
              </w:rPr>
            </w:pPr>
            <w:r w:rsidRPr="00E44348">
              <w:rPr>
                <w:rFonts w:ascii="Arial" w:hAnsi="Arial" w:cs="Arial"/>
                <w:color w:val="000000" w:themeColor="text1"/>
                <w:sz w:val="18"/>
              </w:rPr>
              <w:t>CP-OFDM</w:t>
            </w:r>
          </w:p>
        </w:tc>
        <w:tc>
          <w:tcPr>
            <w:tcW w:w="2985" w:type="dxa"/>
            <w:shd w:val="clear" w:color="auto" w:fill="auto"/>
          </w:tcPr>
          <w:p w:rsidR="008A198D" w:rsidRPr="00E44348" w:rsidRDefault="008A198D" w:rsidP="00E44348">
            <w:pPr>
              <w:spacing w:after="0"/>
              <w:jc w:val="center"/>
              <w:rPr>
                <w:rFonts w:ascii="Arial" w:hAnsi="Arial" w:cs="Arial"/>
                <w:color w:val="000000" w:themeColor="text1"/>
                <w:sz w:val="18"/>
              </w:rPr>
            </w:pPr>
            <w:r w:rsidRPr="00E44348">
              <w:rPr>
                <w:rFonts w:ascii="Arial" w:hAnsi="Arial" w:cs="Arial"/>
                <w:color w:val="000000" w:themeColor="text1"/>
                <w:sz w:val="18"/>
              </w:rPr>
              <w:t>DFT-s-OFDM</w:t>
            </w:r>
          </w:p>
        </w:tc>
      </w:tr>
      <w:tr w:rsidR="008A198D" w:rsidRPr="00766023" w:rsidTr="00E44348">
        <w:trPr>
          <w:jc w:val="center"/>
        </w:trPr>
        <w:tc>
          <w:tcPr>
            <w:tcW w:w="2985" w:type="dxa"/>
            <w:shd w:val="clear" w:color="auto" w:fill="auto"/>
          </w:tcPr>
          <w:p w:rsidR="008A198D" w:rsidRPr="00E44348" w:rsidRDefault="008A198D" w:rsidP="00E44348">
            <w:pPr>
              <w:spacing w:after="0"/>
              <w:jc w:val="center"/>
              <w:rPr>
                <w:rFonts w:ascii="Arial" w:hAnsi="Arial" w:cs="Arial"/>
                <w:color w:val="000000" w:themeColor="text1"/>
                <w:sz w:val="18"/>
              </w:rPr>
            </w:pPr>
            <w:r w:rsidRPr="00E44348">
              <w:rPr>
                <w:rFonts w:ascii="Arial" w:hAnsi="Arial" w:cs="Arial"/>
                <w:color w:val="000000" w:themeColor="text1"/>
                <w:sz w:val="18"/>
              </w:rPr>
              <w:t>contiguous inner</w:t>
            </w:r>
          </w:p>
        </w:tc>
        <w:tc>
          <w:tcPr>
            <w:tcW w:w="2985" w:type="dxa"/>
            <w:shd w:val="clear" w:color="auto" w:fill="auto"/>
          </w:tcPr>
          <w:p w:rsidR="008A198D" w:rsidRPr="00E44348" w:rsidRDefault="008A198D" w:rsidP="00E44348">
            <w:pPr>
              <w:spacing w:after="0"/>
              <w:jc w:val="center"/>
              <w:rPr>
                <w:rFonts w:ascii="Arial" w:hAnsi="Arial" w:cs="Arial"/>
                <w:color w:val="000000" w:themeColor="text1"/>
                <w:sz w:val="18"/>
              </w:rPr>
            </w:pPr>
            <w:r w:rsidRPr="00E44348">
              <w:rPr>
                <w:rFonts w:ascii="Arial" w:hAnsi="Arial" w:cs="Arial"/>
                <w:color w:val="000000" w:themeColor="text1"/>
                <w:sz w:val="18"/>
              </w:rPr>
              <w:t>+0.5</w:t>
            </w:r>
          </w:p>
        </w:tc>
        <w:tc>
          <w:tcPr>
            <w:tcW w:w="2985" w:type="dxa"/>
            <w:shd w:val="clear" w:color="auto" w:fill="auto"/>
          </w:tcPr>
          <w:p w:rsidR="008A198D" w:rsidRPr="00E44348" w:rsidRDefault="008A198D" w:rsidP="00E44348">
            <w:pPr>
              <w:spacing w:after="0"/>
              <w:jc w:val="center"/>
              <w:rPr>
                <w:rFonts w:ascii="Arial" w:hAnsi="Arial" w:cs="Arial"/>
                <w:color w:val="000000" w:themeColor="text1"/>
                <w:sz w:val="18"/>
              </w:rPr>
            </w:pPr>
            <w:r w:rsidRPr="00E44348">
              <w:rPr>
                <w:rFonts w:ascii="Arial" w:hAnsi="Arial" w:cs="Arial"/>
                <w:color w:val="000000" w:themeColor="text1"/>
                <w:sz w:val="18"/>
              </w:rPr>
              <w:t>+1</w:t>
            </w:r>
          </w:p>
        </w:tc>
      </w:tr>
      <w:tr w:rsidR="008A198D" w:rsidRPr="00766023" w:rsidTr="00E44348">
        <w:trPr>
          <w:jc w:val="center"/>
        </w:trPr>
        <w:tc>
          <w:tcPr>
            <w:tcW w:w="2985" w:type="dxa"/>
            <w:shd w:val="clear" w:color="auto" w:fill="auto"/>
          </w:tcPr>
          <w:p w:rsidR="008A198D" w:rsidRPr="00E44348" w:rsidRDefault="008A198D" w:rsidP="00E44348">
            <w:pPr>
              <w:spacing w:after="0"/>
              <w:jc w:val="center"/>
              <w:rPr>
                <w:rFonts w:ascii="Arial" w:hAnsi="Arial" w:cs="Arial"/>
                <w:color w:val="000000" w:themeColor="text1"/>
                <w:sz w:val="18"/>
              </w:rPr>
            </w:pPr>
            <w:r w:rsidRPr="00E44348">
              <w:rPr>
                <w:rFonts w:ascii="Arial" w:hAnsi="Arial" w:cs="Arial"/>
                <w:color w:val="000000" w:themeColor="text1"/>
                <w:sz w:val="18"/>
              </w:rPr>
              <w:t>contiguous outer</w:t>
            </w:r>
          </w:p>
        </w:tc>
        <w:tc>
          <w:tcPr>
            <w:tcW w:w="2985" w:type="dxa"/>
            <w:shd w:val="clear" w:color="auto" w:fill="auto"/>
          </w:tcPr>
          <w:p w:rsidR="008A198D" w:rsidRPr="00E44348" w:rsidRDefault="008A198D" w:rsidP="00E44348">
            <w:pPr>
              <w:spacing w:after="0"/>
              <w:jc w:val="center"/>
              <w:rPr>
                <w:rFonts w:ascii="Arial" w:hAnsi="Arial" w:cs="Arial"/>
                <w:color w:val="000000" w:themeColor="text1"/>
                <w:sz w:val="18"/>
              </w:rPr>
            </w:pPr>
            <w:r w:rsidRPr="00E44348">
              <w:rPr>
                <w:rFonts w:ascii="Arial" w:hAnsi="Arial" w:cs="Arial"/>
                <w:color w:val="000000" w:themeColor="text1"/>
                <w:sz w:val="18"/>
              </w:rPr>
              <w:t>+0.5</w:t>
            </w:r>
          </w:p>
        </w:tc>
        <w:tc>
          <w:tcPr>
            <w:tcW w:w="2985" w:type="dxa"/>
            <w:shd w:val="clear" w:color="auto" w:fill="auto"/>
          </w:tcPr>
          <w:p w:rsidR="008A198D" w:rsidRPr="00E44348" w:rsidRDefault="008A198D" w:rsidP="00E44348">
            <w:pPr>
              <w:spacing w:after="0"/>
              <w:jc w:val="center"/>
              <w:rPr>
                <w:rFonts w:ascii="Arial" w:hAnsi="Arial" w:cs="Arial"/>
                <w:color w:val="000000" w:themeColor="text1"/>
                <w:sz w:val="18"/>
              </w:rPr>
            </w:pPr>
            <w:r w:rsidRPr="00E44348">
              <w:rPr>
                <w:rFonts w:ascii="Arial" w:hAnsi="Arial" w:cs="Arial"/>
                <w:color w:val="000000" w:themeColor="text1"/>
                <w:sz w:val="18"/>
              </w:rPr>
              <w:t>+1</w:t>
            </w:r>
          </w:p>
        </w:tc>
      </w:tr>
      <w:tr w:rsidR="008A198D" w:rsidRPr="00766023" w:rsidTr="00E44348">
        <w:trPr>
          <w:jc w:val="center"/>
        </w:trPr>
        <w:tc>
          <w:tcPr>
            <w:tcW w:w="2985" w:type="dxa"/>
            <w:shd w:val="clear" w:color="auto" w:fill="auto"/>
          </w:tcPr>
          <w:p w:rsidR="008A198D" w:rsidRPr="00E44348" w:rsidRDefault="008A198D" w:rsidP="00E44348">
            <w:pPr>
              <w:spacing w:after="0"/>
              <w:jc w:val="center"/>
              <w:rPr>
                <w:rFonts w:ascii="Arial" w:hAnsi="Arial" w:cs="Arial"/>
                <w:color w:val="000000" w:themeColor="text1"/>
                <w:sz w:val="18"/>
              </w:rPr>
            </w:pPr>
            <w:r w:rsidRPr="00E44348">
              <w:rPr>
                <w:rFonts w:ascii="Arial" w:hAnsi="Arial" w:cs="Arial"/>
                <w:color w:val="000000" w:themeColor="text1"/>
                <w:sz w:val="18"/>
              </w:rPr>
              <w:t>non-contiguous inner</w:t>
            </w:r>
          </w:p>
        </w:tc>
        <w:tc>
          <w:tcPr>
            <w:tcW w:w="2985" w:type="dxa"/>
            <w:shd w:val="clear" w:color="auto" w:fill="auto"/>
          </w:tcPr>
          <w:p w:rsidR="008A198D" w:rsidRPr="00E44348" w:rsidRDefault="008A198D" w:rsidP="00E44348">
            <w:pPr>
              <w:spacing w:after="0"/>
              <w:jc w:val="center"/>
              <w:rPr>
                <w:rFonts w:ascii="Arial" w:hAnsi="Arial" w:cs="Arial"/>
                <w:color w:val="000000" w:themeColor="text1"/>
                <w:sz w:val="18"/>
              </w:rPr>
            </w:pPr>
            <w:r w:rsidRPr="00E44348">
              <w:rPr>
                <w:rFonts w:ascii="Arial" w:hAnsi="Arial" w:cs="Arial"/>
                <w:color w:val="000000" w:themeColor="text1"/>
                <w:sz w:val="18"/>
              </w:rPr>
              <w:t>+0.5</w:t>
            </w:r>
          </w:p>
        </w:tc>
        <w:tc>
          <w:tcPr>
            <w:tcW w:w="2985" w:type="dxa"/>
            <w:shd w:val="clear" w:color="auto" w:fill="auto"/>
          </w:tcPr>
          <w:p w:rsidR="008A198D" w:rsidRPr="00E44348" w:rsidRDefault="008A198D" w:rsidP="00E44348">
            <w:pPr>
              <w:spacing w:after="0"/>
              <w:jc w:val="center"/>
              <w:rPr>
                <w:rFonts w:ascii="Arial" w:hAnsi="Arial" w:cs="Arial"/>
                <w:color w:val="000000" w:themeColor="text1"/>
                <w:sz w:val="18"/>
              </w:rPr>
            </w:pPr>
            <w:r w:rsidRPr="00E44348">
              <w:rPr>
                <w:rFonts w:ascii="Arial" w:hAnsi="Arial" w:cs="Arial"/>
                <w:color w:val="000000" w:themeColor="text1"/>
                <w:sz w:val="18"/>
              </w:rPr>
              <w:t>+1</w:t>
            </w:r>
          </w:p>
        </w:tc>
      </w:tr>
      <w:tr w:rsidR="008A198D" w:rsidRPr="00766023" w:rsidTr="00E44348">
        <w:trPr>
          <w:jc w:val="center"/>
        </w:trPr>
        <w:tc>
          <w:tcPr>
            <w:tcW w:w="2985" w:type="dxa"/>
            <w:shd w:val="clear" w:color="auto" w:fill="auto"/>
          </w:tcPr>
          <w:p w:rsidR="008A198D" w:rsidRPr="00E44348" w:rsidRDefault="008A198D" w:rsidP="00E44348">
            <w:pPr>
              <w:spacing w:after="0"/>
              <w:jc w:val="center"/>
              <w:rPr>
                <w:rFonts w:ascii="Arial" w:hAnsi="Arial" w:cs="Arial"/>
                <w:color w:val="000000" w:themeColor="text1"/>
                <w:sz w:val="18"/>
              </w:rPr>
            </w:pPr>
            <w:r w:rsidRPr="00E44348">
              <w:rPr>
                <w:rFonts w:ascii="Arial" w:hAnsi="Arial" w:cs="Arial"/>
                <w:color w:val="000000" w:themeColor="text1"/>
                <w:sz w:val="18"/>
              </w:rPr>
              <w:t>non-contiguous outer 1</w:t>
            </w:r>
          </w:p>
        </w:tc>
        <w:tc>
          <w:tcPr>
            <w:tcW w:w="2985" w:type="dxa"/>
            <w:shd w:val="clear" w:color="auto" w:fill="auto"/>
          </w:tcPr>
          <w:p w:rsidR="008A198D" w:rsidRPr="00E44348" w:rsidRDefault="008A198D" w:rsidP="00E44348">
            <w:pPr>
              <w:spacing w:after="0"/>
              <w:jc w:val="center"/>
              <w:rPr>
                <w:rFonts w:ascii="Arial" w:hAnsi="Arial" w:cs="Arial"/>
                <w:color w:val="000000" w:themeColor="text1"/>
                <w:sz w:val="18"/>
              </w:rPr>
            </w:pPr>
            <w:r w:rsidRPr="00E44348">
              <w:rPr>
                <w:rFonts w:ascii="Arial" w:hAnsi="Arial" w:cs="Arial"/>
                <w:color w:val="000000" w:themeColor="text1"/>
                <w:sz w:val="18"/>
              </w:rPr>
              <w:t>+1</w:t>
            </w:r>
          </w:p>
        </w:tc>
        <w:tc>
          <w:tcPr>
            <w:tcW w:w="2985" w:type="dxa"/>
            <w:shd w:val="clear" w:color="auto" w:fill="auto"/>
          </w:tcPr>
          <w:p w:rsidR="008A198D" w:rsidRPr="00E44348" w:rsidRDefault="008A198D" w:rsidP="00E44348">
            <w:pPr>
              <w:spacing w:after="0"/>
              <w:jc w:val="center"/>
              <w:rPr>
                <w:rFonts w:ascii="Arial" w:hAnsi="Arial" w:cs="Arial"/>
                <w:color w:val="000000" w:themeColor="text1"/>
                <w:sz w:val="18"/>
              </w:rPr>
            </w:pPr>
            <w:r w:rsidRPr="00E44348">
              <w:rPr>
                <w:rFonts w:ascii="Arial" w:hAnsi="Arial" w:cs="Arial"/>
                <w:color w:val="000000" w:themeColor="text1"/>
                <w:sz w:val="18"/>
              </w:rPr>
              <w:t>+1</w:t>
            </w:r>
          </w:p>
        </w:tc>
      </w:tr>
      <w:tr w:rsidR="008A198D" w:rsidTr="00E44348">
        <w:trPr>
          <w:jc w:val="center"/>
        </w:trPr>
        <w:tc>
          <w:tcPr>
            <w:tcW w:w="2985" w:type="dxa"/>
            <w:shd w:val="clear" w:color="auto" w:fill="auto"/>
          </w:tcPr>
          <w:p w:rsidR="008A198D" w:rsidRPr="00E44348" w:rsidRDefault="008A198D" w:rsidP="00E44348">
            <w:pPr>
              <w:spacing w:after="0"/>
              <w:jc w:val="center"/>
              <w:rPr>
                <w:rFonts w:ascii="Arial" w:hAnsi="Arial" w:cs="Arial"/>
                <w:color w:val="000000" w:themeColor="text1"/>
                <w:sz w:val="18"/>
              </w:rPr>
            </w:pPr>
            <w:r w:rsidRPr="00E44348">
              <w:rPr>
                <w:rFonts w:ascii="Arial" w:hAnsi="Arial" w:cs="Arial"/>
                <w:color w:val="000000" w:themeColor="text1"/>
                <w:sz w:val="18"/>
              </w:rPr>
              <w:t>non-contiguous outer 2</w:t>
            </w:r>
          </w:p>
        </w:tc>
        <w:tc>
          <w:tcPr>
            <w:tcW w:w="2985" w:type="dxa"/>
            <w:shd w:val="clear" w:color="auto" w:fill="auto"/>
          </w:tcPr>
          <w:p w:rsidR="008A198D" w:rsidRPr="00E44348" w:rsidRDefault="008A198D" w:rsidP="00E44348">
            <w:pPr>
              <w:spacing w:after="0"/>
              <w:jc w:val="center"/>
              <w:rPr>
                <w:rFonts w:ascii="Arial" w:hAnsi="Arial" w:cs="Arial"/>
                <w:color w:val="000000" w:themeColor="text1"/>
                <w:sz w:val="18"/>
              </w:rPr>
            </w:pPr>
            <w:r w:rsidRPr="00E44348">
              <w:rPr>
                <w:rFonts w:ascii="Arial" w:hAnsi="Arial" w:cs="Arial"/>
                <w:color w:val="000000" w:themeColor="text1"/>
                <w:sz w:val="18"/>
              </w:rPr>
              <w:t>+1</w:t>
            </w:r>
          </w:p>
        </w:tc>
        <w:tc>
          <w:tcPr>
            <w:tcW w:w="2985" w:type="dxa"/>
            <w:shd w:val="clear" w:color="auto" w:fill="auto"/>
          </w:tcPr>
          <w:p w:rsidR="008A198D" w:rsidRPr="00E44348" w:rsidRDefault="008A198D" w:rsidP="00E44348">
            <w:pPr>
              <w:spacing w:after="0"/>
              <w:jc w:val="center"/>
              <w:rPr>
                <w:rFonts w:ascii="Arial" w:hAnsi="Arial" w:cs="Arial"/>
                <w:color w:val="000000" w:themeColor="text1"/>
                <w:sz w:val="18"/>
              </w:rPr>
            </w:pPr>
            <w:r w:rsidRPr="00E44348">
              <w:rPr>
                <w:rFonts w:ascii="Arial" w:hAnsi="Arial" w:cs="Arial"/>
                <w:color w:val="000000" w:themeColor="text1"/>
                <w:sz w:val="18"/>
              </w:rPr>
              <w:t>+1</w:t>
            </w:r>
          </w:p>
        </w:tc>
      </w:tr>
    </w:tbl>
    <w:p w:rsidR="008A198D" w:rsidRDefault="008A198D" w:rsidP="00E44348">
      <w:pPr>
        <w:spacing w:before="240"/>
        <w:rPr>
          <w:lang w:val="en-US"/>
        </w:rPr>
      </w:pPr>
      <w:r>
        <w:rPr>
          <w:lang w:val="en-US" w:eastAsia="en-US"/>
        </w:rPr>
        <w:t>Though we think that the 26+26dBm may not be a typical implementation for PC2, it’s ok to consider it as an implementation option. For UE implementation of 23+26d</w:t>
      </w:r>
      <w:r>
        <w:rPr>
          <w:rFonts w:hint="eastAsia"/>
          <w:lang w:val="en-US"/>
        </w:rPr>
        <w:t>B</w:t>
      </w:r>
      <w:r>
        <w:rPr>
          <w:lang w:val="en-US"/>
        </w:rPr>
        <w:t xml:space="preserve">m, as one </w:t>
      </w:r>
      <w:proofErr w:type="spellStart"/>
      <w:proofErr w:type="gramStart"/>
      <w:r>
        <w:rPr>
          <w:lang w:val="en-US"/>
        </w:rPr>
        <w:t>Tx</w:t>
      </w:r>
      <w:proofErr w:type="spellEnd"/>
      <w:proofErr w:type="gramEnd"/>
      <w:r>
        <w:rPr>
          <w:lang w:val="en-US"/>
        </w:rPr>
        <w:t xml:space="preserve"> chain can already deliver the full transmitted power, in our view, we think it can meet the 1Tx CA requirement. However, we also think that some flexibility can be considered for the applicable requirements, i.e. whether MPR for 23+23 or MPR for 26+26 can be distinguished </w:t>
      </w:r>
      <w:r w:rsidR="00A85815">
        <w:rPr>
          <w:lang w:val="en-US"/>
        </w:rPr>
        <w:t>by indication of</w:t>
      </w:r>
      <w:r w:rsidR="009D651B">
        <w:rPr>
          <w:lang w:val="en-US"/>
        </w:rPr>
        <w:t xml:space="preserve"> </w:t>
      </w:r>
      <w:proofErr w:type="spellStart"/>
      <w:r w:rsidR="009D651B" w:rsidRPr="00325696">
        <w:rPr>
          <w:i/>
        </w:rPr>
        <w:t>dualPA</w:t>
      </w:r>
      <w:proofErr w:type="spellEnd"/>
      <w:r w:rsidR="009D651B" w:rsidRPr="00325696">
        <w:rPr>
          <w:i/>
        </w:rPr>
        <w:t>-Architecture</w:t>
      </w:r>
      <w:r w:rsidR="009D651B">
        <w:rPr>
          <w:i/>
        </w:rPr>
        <w:t xml:space="preserve"> </w:t>
      </w:r>
      <w:r w:rsidR="009D651B">
        <w:t xml:space="preserve">or additionally could also consider indication of </w:t>
      </w:r>
      <w:proofErr w:type="spellStart"/>
      <w:r w:rsidR="009D651B">
        <w:t>TxD</w:t>
      </w:r>
      <w:proofErr w:type="spellEnd"/>
      <w:r w:rsidR="00A85815">
        <w:rPr>
          <w:lang w:val="en-US"/>
        </w:rPr>
        <w:t>.</w:t>
      </w:r>
    </w:p>
    <w:p w:rsidR="00A85815" w:rsidRDefault="00A85815" w:rsidP="005369EE">
      <w:pPr>
        <w:rPr>
          <w:lang w:val="en-US"/>
        </w:rPr>
      </w:pPr>
      <w:r>
        <w:rPr>
          <w:lang w:val="en-US"/>
        </w:rPr>
        <w:t xml:space="preserve">Regarding the new capability, we think that is not necessary. Since we only have two sets of MPR requirements, it that really useful to have a new capability rather </w:t>
      </w:r>
      <w:r w:rsidR="009D651B">
        <w:rPr>
          <w:lang w:val="en-US"/>
        </w:rPr>
        <w:t xml:space="preserve">than utilizing the existing </w:t>
      </w:r>
      <w:r>
        <w:rPr>
          <w:lang w:val="en-US"/>
        </w:rPr>
        <w:t xml:space="preserve">capability? </w:t>
      </w:r>
      <w:r w:rsidR="009D651B">
        <w:rPr>
          <w:lang w:val="en-US"/>
        </w:rPr>
        <w:t xml:space="preserve">The main purpose of the capability is to differentiate the applicable requirements rather than to distinguish the UE architectures. </w:t>
      </w:r>
    </w:p>
    <w:p w:rsidR="005369EE" w:rsidRDefault="005369EE" w:rsidP="005369EE">
      <w:pPr>
        <w:rPr>
          <w:b/>
          <w:i/>
          <w:lang w:val="en-US" w:eastAsia="en-US"/>
        </w:rPr>
      </w:pPr>
      <w:bookmarkStart w:id="2" w:name="OLE_LINK1"/>
      <w:r>
        <w:rPr>
          <w:b/>
          <w:i/>
          <w:lang w:val="en-US" w:eastAsia="en-US"/>
        </w:rPr>
        <w:t xml:space="preserve">Observation 1: </w:t>
      </w:r>
      <w:r w:rsidR="00A85815">
        <w:rPr>
          <w:b/>
          <w:i/>
          <w:lang w:val="en-US" w:eastAsia="en-US"/>
        </w:rPr>
        <w:t>Based on previous agreements, two sets of MPR requirements are considered for 23+23dBm and 26+26dBm PA configurations, the issue is</w:t>
      </w:r>
      <w:r w:rsidR="009D651B">
        <w:rPr>
          <w:b/>
          <w:i/>
          <w:lang w:val="en-US" w:eastAsia="en-US"/>
        </w:rPr>
        <w:t xml:space="preserve"> how to distinguish the applicable MPR requirements and</w:t>
      </w:r>
      <w:r w:rsidR="00A85815">
        <w:rPr>
          <w:b/>
          <w:i/>
          <w:lang w:val="en-US" w:eastAsia="en-US"/>
        </w:rPr>
        <w:t xml:space="preserve"> which one is applicable to 23+26dBm.</w:t>
      </w:r>
    </w:p>
    <w:bookmarkEnd w:id="2"/>
    <w:p w:rsidR="00167F84" w:rsidRPr="005369EE" w:rsidRDefault="00167F84" w:rsidP="005369EE">
      <w:pPr>
        <w:rPr>
          <w:b/>
          <w:i/>
          <w:lang w:val="en-US" w:eastAsia="en-US"/>
        </w:rPr>
      </w:pPr>
      <w:r w:rsidRPr="005369EE">
        <w:rPr>
          <w:b/>
          <w:i/>
          <w:lang w:val="en-US" w:eastAsia="en-US"/>
        </w:rPr>
        <w:t>Proposal 1:</w:t>
      </w:r>
      <w:r w:rsidR="00A85815">
        <w:rPr>
          <w:b/>
          <w:i/>
          <w:lang w:val="en-US" w:eastAsia="en-US"/>
        </w:rPr>
        <w:t xml:space="preserve"> No new capability is needed for the applicable requirements for 23+26dBm. The applicable requirements can be distinguished by indication of </w:t>
      </w:r>
      <w:proofErr w:type="spellStart"/>
      <w:r w:rsidR="009D651B">
        <w:rPr>
          <w:b/>
          <w:i/>
          <w:lang w:val="en-US" w:eastAsia="en-US"/>
        </w:rPr>
        <w:t>dualPA</w:t>
      </w:r>
      <w:proofErr w:type="spellEnd"/>
      <w:r w:rsidR="009D651B">
        <w:rPr>
          <w:b/>
          <w:i/>
          <w:lang w:val="en-US" w:eastAsia="en-US"/>
        </w:rPr>
        <w:t xml:space="preserve">-Architecture, or additionally with indication of </w:t>
      </w:r>
      <w:proofErr w:type="spellStart"/>
      <w:r w:rsidR="009D651B">
        <w:rPr>
          <w:b/>
          <w:i/>
          <w:lang w:val="en-US" w:eastAsia="en-US"/>
        </w:rPr>
        <w:t>TxD</w:t>
      </w:r>
      <w:proofErr w:type="spellEnd"/>
      <w:r w:rsidR="00A85815">
        <w:rPr>
          <w:b/>
          <w:i/>
          <w:lang w:val="en-US" w:eastAsia="en-US"/>
        </w:rPr>
        <w:t>.</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A85815">
        <w:t>our view on the applicable requirements as well as UE capability for 23+26dBm PA configuration.</w:t>
      </w:r>
    </w:p>
    <w:p w:rsidR="00701903" w:rsidRDefault="00701903" w:rsidP="00701903">
      <w:pPr>
        <w:rPr>
          <w:b/>
          <w:i/>
          <w:lang w:val="en-US" w:eastAsia="en-US"/>
        </w:rPr>
      </w:pPr>
      <w:r>
        <w:rPr>
          <w:b/>
          <w:i/>
          <w:lang w:val="en-US" w:eastAsia="en-US"/>
        </w:rPr>
        <w:lastRenderedPageBreak/>
        <w:t>Observation 1: Based on previous agreements, two sets of MPR requirements are considered for 23+23dBm and 26+26dBm PA configurations, the issue is how to distinguish the applicable MPR requirements and which one is applicable to 23+26dBm.</w:t>
      </w:r>
    </w:p>
    <w:p w:rsidR="009D651B" w:rsidRDefault="009D651B" w:rsidP="009D651B">
      <w:pPr>
        <w:rPr>
          <w:b/>
          <w:i/>
          <w:lang w:val="en-US" w:eastAsia="en-US"/>
        </w:rPr>
      </w:pPr>
      <w:r w:rsidRPr="005369EE">
        <w:rPr>
          <w:b/>
          <w:i/>
          <w:lang w:val="en-US" w:eastAsia="en-US"/>
        </w:rPr>
        <w:t>Proposal 1:</w:t>
      </w:r>
      <w:r>
        <w:rPr>
          <w:b/>
          <w:i/>
          <w:lang w:val="en-US" w:eastAsia="en-US"/>
        </w:rPr>
        <w:t xml:space="preserve"> No new capability is needed for the applicable requirements for 23+26dBm. The applicable requirements can be distinguished by indication of </w:t>
      </w:r>
      <w:proofErr w:type="spellStart"/>
      <w:r>
        <w:rPr>
          <w:b/>
          <w:i/>
          <w:lang w:val="en-US" w:eastAsia="en-US"/>
        </w:rPr>
        <w:t>dualPA</w:t>
      </w:r>
      <w:proofErr w:type="spellEnd"/>
      <w:r>
        <w:rPr>
          <w:b/>
          <w:i/>
          <w:lang w:val="en-US" w:eastAsia="en-US"/>
        </w:rPr>
        <w:t xml:space="preserve">-Architecture, or additionally with indication of </w:t>
      </w:r>
      <w:proofErr w:type="spellStart"/>
      <w:r>
        <w:rPr>
          <w:b/>
          <w:i/>
          <w:lang w:val="en-US" w:eastAsia="en-US"/>
        </w:rPr>
        <w:t>TxD</w:t>
      </w:r>
      <w:proofErr w:type="spellEnd"/>
      <w:r>
        <w:rPr>
          <w:b/>
          <w:i/>
          <w:lang w:val="en-US" w:eastAsia="en-US"/>
        </w:rPr>
        <w:t>.</w:t>
      </w:r>
    </w:p>
    <w:p w:rsidR="00701903" w:rsidRPr="00701903" w:rsidRDefault="00701903" w:rsidP="009D651B">
      <w:pPr>
        <w:rPr>
          <w:lang w:val="en-US" w:eastAsia="en-US"/>
        </w:rPr>
      </w:pPr>
      <w:r>
        <w:rPr>
          <w:lang w:val="en-US" w:eastAsia="en-US"/>
        </w:rPr>
        <w:t>Draft CR is provided in [2] to complete the requirements for PC2 intra-band CA with UL MIMO.</w:t>
      </w:r>
    </w:p>
    <w:p w:rsidR="00B22DA6" w:rsidRDefault="00B22DA6" w:rsidP="00B22DA6">
      <w:pPr>
        <w:pStyle w:val="Heading1"/>
        <w:numPr>
          <w:ilvl w:val="0"/>
          <w:numId w:val="0"/>
        </w:numPr>
        <w:rPr>
          <w:rFonts w:eastAsia="宋体"/>
          <w:lang w:eastAsia="zh-CN"/>
        </w:rPr>
      </w:pPr>
      <w:r>
        <w:t>References</w:t>
      </w:r>
    </w:p>
    <w:p w:rsidR="00C53757" w:rsidRDefault="0035262B" w:rsidP="00F71A33">
      <w:pPr>
        <w:rPr>
          <w:lang w:eastAsia="ja-JP"/>
        </w:rPr>
      </w:pPr>
      <w:r>
        <w:rPr>
          <w:rFonts w:hint="eastAsia"/>
        </w:rPr>
        <w:t>[1]</w:t>
      </w:r>
      <w:r w:rsidR="005369EE">
        <w:t xml:space="preserve"> </w:t>
      </w:r>
      <w:r w:rsidR="0029651F" w:rsidRPr="0029651F">
        <w:rPr>
          <w:lang w:eastAsia="ja-JP"/>
        </w:rPr>
        <w:t>R4-2119954</w:t>
      </w:r>
      <w:r w:rsidR="0029651F">
        <w:rPr>
          <w:lang w:eastAsia="ja-JP"/>
        </w:rPr>
        <w:t>,</w:t>
      </w:r>
      <w:r w:rsidR="0029651F" w:rsidRPr="0029651F">
        <w:rPr>
          <w:lang w:eastAsia="ja-JP"/>
        </w:rPr>
        <w:t xml:space="preserve"> WF on PC2 intra-band contiguous UL CA with UL MIMO</w:t>
      </w:r>
      <w:r w:rsidR="0029651F">
        <w:rPr>
          <w:lang w:eastAsia="ja-JP"/>
        </w:rPr>
        <w:t>, OPPO</w:t>
      </w:r>
    </w:p>
    <w:p w:rsidR="00701903" w:rsidRPr="00701903" w:rsidRDefault="00701903" w:rsidP="00F71A33">
      <w:pPr>
        <w:rPr>
          <w:lang w:val="en-US"/>
        </w:rPr>
      </w:pPr>
      <w:r>
        <w:rPr>
          <w:lang w:eastAsia="ja-JP"/>
        </w:rPr>
        <w:t xml:space="preserve">[2] </w:t>
      </w:r>
      <w:r w:rsidR="00B17F46" w:rsidRPr="00B17F46">
        <w:rPr>
          <w:lang w:eastAsia="ja-JP"/>
        </w:rPr>
        <w:t>R4-2201947</w:t>
      </w:r>
      <w:bookmarkStart w:id="3" w:name="_GoBack"/>
      <w:bookmarkEnd w:id="3"/>
      <w:r>
        <w:rPr>
          <w:lang w:eastAsia="ja-JP"/>
        </w:rPr>
        <w:t xml:space="preserve">, </w:t>
      </w:r>
      <w:r w:rsidRPr="00701903">
        <w:rPr>
          <w:lang w:eastAsia="ja-JP"/>
        </w:rPr>
        <w:t>CR for TS 38.101-1 contiguous CA with UL MIMO for power class 2</w:t>
      </w:r>
      <w:r>
        <w:rPr>
          <w:rFonts w:hint="eastAsia"/>
        </w:rPr>
        <w:t>,</w:t>
      </w:r>
      <w:r>
        <w:t xml:space="preserve"> Huawei, HiSilicon</w:t>
      </w:r>
    </w:p>
    <w:p w:rsidR="00355387" w:rsidRDefault="00355387" w:rsidP="00F71A33"/>
    <w:sectPr w:rsidR="0035538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3980" w:rsidRDefault="00463980" w:rsidP="0052762B">
      <w:r>
        <w:separator/>
      </w:r>
    </w:p>
  </w:endnote>
  <w:endnote w:type="continuationSeparator" w:id="0">
    <w:p w:rsidR="00463980" w:rsidRDefault="0046398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3980" w:rsidRDefault="00463980" w:rsidP="0052762B">
      <w:r>
        <w:separator/>
      </w:r>
    </w:p>
  </w:footnote>
  <w:footnote w:type="continuationSeparator" w:id="0">
    <w:p w:rsidR="00463980" w:rsidRDefault="00463980"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8"/>
  </w:num>
  <w:num w:numId="5">
    <w:abstractNumId w:val="1"/>
  </w:num>
  <w:num w:numId="6">
    <w:abstractNumId w:val="37"/>
  </w:num>
  <w:num w:numId="7">
    <w:abstractNumId w:val="17"/>
  </w:num>
  <w:num w:numId="8">
    <w:abstractNumId w:val="30"/>
  </w:num>
  <w:num w:numId="9">
    <w:abstractNumId w:val="40"/>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6"/>
  </w:num>
  <w:num w:numId="25">
    <w:abstractNumId w:val="8"/>
  </w:num>
  <w:num w:numId="26">
    <w:abstractNumId w:val="35"/>
  </w:num>
  <w:num w:numId="27">
    <w:abstractNumId w:val="34"/>
  </w:num>
  <w:num w:numId="28">
    <w:abstractNumId w:val="18"/>
  </w:num>
  <w:num w:numId="29">
    <w:abstractNumId w:val="39"/>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0DF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51F"/>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5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980"/>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31D"/>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1903"/>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51B"/>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15"/>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17F46"/>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48"/>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1903"/>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2270653">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609E4-663D-4FBE-93F4-1043569D6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66</TotalTime>
  <Pages>2</Pages>
  <Words>475</Words>
  <Characters>2709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3178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6</cp:revision>
  <cp:lastPrinted>2010-01-07T02:23:00Z</cp:lastPrinted>
  <dcterms:created xsi:type="dcterms:W3CDTF">2022-01-05T12:29:00Z</dcterms:created>
  <dcterms:modified xsi:type="dcterms:W3CDTF">2022-01-10T20:06:00Z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(3)J7o4LmN2EgY5LkDdkss+WZY6OblZz1QEGse4IiZK9gCLXG+iBSdQ91aXeDUoQzgWpCl6wEKL
qAbHBrXi6scZ7O9MEjmni3o+z27pjBK2FbhGGNTRlcoYUNFSzlqncl3ul7ht/TLSn4FDVb7z
rI5H0G8687/fpZe9ezhQK3uIg3UPieqJz3tkyLY0waDAhX3HRhYJFmKxFxRhXg14TDPTFq4x
6FjliJjcM+d0NKBepw</vt:lpwstr>
  </property>
  <property fmtid="{D5CDD505-2E9C-101B-9397-08002B2CF9AE}" pid="15" name="_2015_ms_pID_725343_00">
    <vt:lpwstr>_2015_ms_pID_725343</vt:lpwstr>
  </property>
  <property fmtid="{D5CDD505-2E9C-101B-9397-08002B2CF9AE}" pid="16" name="_2015_ms_pID_7253431">
    <vt:lpwstr>c5vGrA4eoc1vWnbeTRkZZwp7NZHxfP/P2wQzN4WIDMe9ffBGkP/4z6
Hj4tjpzwNFkxWxd17qnnsBl6wg5pAjFVVloDPmQyScO4/7sMWuFTiJYIbsEHOtObEOVdHa/Z
UFAH61Rirt43+cXPBXGr57LZpeR77Ffs2bOqfOA3VpwEoB64b2a2QG1dIjoZ0NbUsS6VB0Ul
tYZZnLb7B25An2d+L9k0x4un5Sp0cHmdSCeD</vt:lpwstr>
  </property>
  <property fmtid="{D5CDD505-2E9C-101B-9397-08002B2CF9AE}" pid="17" name="_2015_ms_pID_7253431_00">
    <vt:lpwstr>_2015_ms_pID_7253431</vt:lpwstr>
  </property>
  <property fmtid="{D5CDD505-2E9C-101B-9397-08002B2CF9AE}" pid="18" name="_2015_ms_pID_7253432">
    <vt:lpwstr>5P2FUxlbSBsUrkswktIK+j0=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